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DB734" w14:textId="67F96D30" w:rsidR="001A7F18" w:rsidRPr="001A7F18" w:rsidRDefault="00EA6ADB" w:rsidP="00EA6ADB">
      <w:pPr>
        <w:rPr>
          <w:rFonts w:ascii="Arial" w:eastAsia="Arial" w:hAnsi="Arial" w:cs="Arial"/>
          <w:b/>
          <w:highlight w:val="white"/>
        </w:rPr>
      </w:pPr>
      <w:r w:rsidRPr="004F686D">
        <w:rPr>
          <w:rFonts w:ascii="Arial" w:eastAsia="Arial" w:hAnsi="Arial" w:cs="Arial"/>
          <w:b/>
          <w:caps/>
          <w:highlight w:val="white"/>
        </w:rPr>
        <w:t>Organisme canadien</w:t>
      </w:r>
      <w:r>
        <w:rPr>
          <w:rFonts w:ascii="Arial" w:eastAsia="Arial" w:hAnsi="Arial" w:cs="Arial"/>
          <w:b/>
          <w:highlight w:val="white"/>
        </w:rPr>
        <w:t xml:space="preserve"> : </w:t>
      </w:r>
    </w:p>
    <w:tbl>
      <w:tblPr>
        <w:tblStyle w:val="TableGrid"/>
        <w:tblW w:w="0" w:type="auto"/>
        <w:tblLook w:val="04A0" w:firstRow="1" w:lastRow="0" w:firstColumn="1" w:lastColumn="0" w:noHBand="0" w:noVBand="1"/>
      </w:tblPr>
      <w:tblGrid>
        <w:gridCol w:w="7370"/>
      </w:tblGrid>
      <w:tr w:rsidR="001A7F18" w:rsidRPr="00D8650A" w14:paraId="5A800C1C" w14:textId="77777777" w:rsidTr="00237DFB">
        <w:trPr>
          <w:trHeight w:val="419"/>
        </w:trPr>
        <w:tc>
          <w:tcPr>
            <w:tcW w:w="7370" w:type="dxa"/>
          </w:tcPr>
          <w:p w14:paraId="4A026F99" w14:textId="6B599C07" w:rsidR="001A7F18" w:rsidRPr="00237DFB" w:rsidRDefault="00237DFB" w:rsidP="00063D0A">
            <w:pPr>
              <w:spacing w:line="360" w:lineRule="auto"/>
            </w:pPr>
            <w:bookmarkStart w:id="0" w:name="_Hlk138772018"/>
            <w:r w:rsidRPr="00237DFB">
              <w:t>Mines Action Canada</w:t>
            </w:r>
          </w:p>
        </w:tc>
      </w:tr>
      <w:bookmarkEnd w:id="0"/>
    </w:tbl>
    <w:p w14:paraId="1F54221B" w14:textId="7B52DFE0" w:rsidR="00EA6ADB" w:rsidRPr="00D507C2" w:rsidRDefault="00EA6ADB" w:rsidP="00EA6ADB">
      <w:pPr>
        <w:rPr>
          <w:rFonts w:ascii="Arial" w:eastAsia="Arial" w:hAnsi="Arial" w:cs="Arial"/>
          <w:highlight w:val="white"/>
        </w:rPr>
      </w:pPr>
    </w:p>
    <w:p w14:paraId="79AD3202" w14:textId="77777777" w:rsidR="00EA6ADB" w:rsidRDefault="00EA6ADB" w:rsidP="00EA6ADB">
      <w:pPr>
        <w:rPr>
          <w:rFonts w:ascii="Arial" w:eastAsia="Arial" w:hAnsi="Arial" w:cs="Arial"/>
          <w:b/>
          <w:highlight w:val="white"/>
        </w:rPr>
      </w:pPr>
    </w:p>
    <w:p w14:paraId="0DC80A09" w14:textId="66DEA699" w:rsidR="001A7F18" w:rsidRDefault="004F686D" w:rsidP="00EA6ADB">
      <w:pPr>
        <w:rPr>
          <w:rFonts w:ascii="Arial" w:eastAsia="Arial" w:hAnsi="Arial" w:cs="Arial"/>
          <w:highlight w:val="white"/>
        </w:rPr>
      </w:pPr>
      <w:r>
        <w:rPr>
          <w:rFonts w:ascii="Arial" w:eastAsia="Arial" w:hAnsi="Arial" w:cs="Arial"/>
          <w:b/>
          <w:highlight w:val="white"/>
        </w:rPr>
        <w:t>ORGANISME LOCAL</w:t>
      </w:r>
      <w:r w:rsidR="00EA6ADB">
        <w:rPr>
          <w:rFonts w:ascii="Arial" w:eastAsia="Arial" w:hAnsi="Arial" w:cs="Arial"/>
          <w:b/>
          <w:highlight w:val="white"/>
        </w:rPr>
        <w:t>:</w:t>
      </w:r>
      <w:r w:rsidR="00D507C2">
        <w:rPr>
          <w:rFonts w:ascii="Arial" w:eastAsia="Arial" w:hAnsi="Arial" w:cs="Arial"/>
          <w:highlight w:val="white"/>
        </w:rPr>
        <w:t xml:space="preserve">     </w:t>
      </w:r>
    </w:p>
    <w:tbl>
      <w:tblPr>
        <w:tblStyle w:val="TableGrid"/>
        <w:tblW w:w="0" w:type="auto"/>
        <w:tblLook w:val="04A0" w:firstRow="1" w:lastRow="0" w:firstColumn="1" w:lastColumn="0" w:noHBand="0" w:noVBand="1"/>
      </w:tblPr>
      <w:tblGrid>
        <w:gridCol w:w="7370"/>
      </w:tblGrid>
      <w:tr w:rsidR="001A7F18" w:rsidRPr="00D8650A" w14:paraId="7BA25362" w14:textId="77777777" w:rsidTr="00237DFB">
        <w:trPr>
          <w:trHeight w:val="579"/>
        </w:trPr>
        <w:tc>
          <w:tcPr>
            <w:tcW w:w="7370" w:type="dxa"/>
          </w:tcPr>
          <w:p w14:paraId="491311E5" w14:textId="52D31BCB" w:rsidR="001A7F18" w:rsidRPr="00237DFB" w:rsidRDefault="00237DFB" w:rsidP="00237DFB">
            <w:pPr>
              <w:rPr>
                <w:rFonts w:eastAsia="Arial"/>
              </w:rPr>
            </w:pPr>
            <w:proofErr w:type="spellStart"/>
            <w:r w:rsidRPr="00237DFB">
              <w:rPr>
                <w:rFonts w:eastAsia="Arial"/>
              </w:rPr>
              <w:t>Campaña</w:t>
            </w:r>
            <w:proofErr w:type="spellEnd"/>
            <w:r w:rsidRPr="00237DFB">
              <w:rPr>
                <w:rFonts w:eastAsia="Arial"/>
              </w:rPr>
              <w:t xml:space="preserve"> </w:t>
            </w:r>
            <w:proofErr w:type="spellStart"/>
            <w:r w:rsidRPr="00237DFB">
              <w:rPr>
                <w:rFonts w:eastAsia="Arial"/>
              </w:rPr>
              <w:t>Colombiana</w:t>
            </w:r>
            <w:proofErr w:type="spellEnd"/>
            <w:r w:rsidRPr="00237DFB">
              <w:rPr>
                <w:rFonts w:eastAsia="Arial"/>
              </w:rPr>
              <w:t xml:space="preserve"> Contra Minas (Campagne colombienne pour l’interdiction des mines antipersonnel, CCCM)</w:t>
            </w:r>
          </w:p>
        </w:tc>
      </w:tr>
    </w:tbl>
    <w:p w14:paraId="76C7EF3F" w14:textId="77777777" w:rsidR="001A7F18" w:rsidRPr="00D507C2" w:rsidRDefault="001A7F18" w:rsidP="00EA6ADB">
      <w:pPr>
        <w:rPr>
          <w:rFonts w:ascii="Arial" w:eastAsia="Arial" w:hAnsi="Arial" w:cs="Arial"/>
          <w:highlight w:val="white"/>
        </w:rPr>
      </w:pPr>
    </w:p>
    <w:p w14:paraId="1BA3CC1D" w14:textId="77777777" w:rsidR="00EA6ADB" w:rsidRDefault="00EA6ADB" w:rsidP="00EA6ADB">
      <w:pPr>
        <w:rPr>
          <w:rFonts w:ascii="Arial" w:eastAsia="Arial" w:hAnsi="Arial" w:cs="Arial"/>
          <w:b/>
          <w:highlight w:val="white"/>
        </w:rPr>
      </w:pPr>
    </w:p>
    <w:p w14:paraId="28A5BA8D" w14:textId="06AA2576" w:rsidR="001A7F18" w:rsidRDefault="004F686D" w:rsidP="00EA6ADB">
      <w:pPr>
        <w:rPr>
          <w:rFonts w:ascii="Arial" w:eastAsia="Arial" w:hAnsi="Arial" w:cs="Arial"/>
          <w:b/>
        </w:rPr>
      </w:pPr>
      <w:r>
        <w:rPr>
          <w:rFonts w:ascii="Arial" w:eastAsia="Arial" w:hAnsi="Arial" w:cs="Arial"/>
          <w:b/>
          <w:highlight w:val="white"/>
        </w:rPr>
        <w:t>TITRE DU POSTE</w:t>
      </w:r>
      <w:r w:rsidR="00EA6ADB">
        <w:rPr>
          <w:rFonts w:ascii="Arial" w:eastAsia="Arial" w:hAnsi="Arial" w:cs="Arial"/>
          <w:b/>
          <w:highlight w:val="white"/>
        </w:rPr>
        <w:t xml:space="preserve">: </w:t>
      </w:r>
    </w:p>
    <w:tbl>
      <w:tblPr>
        <w:tblStyle w:val="TableGrid"/>
        <w:tblW w:w="0" w:type="auto"/>
        <w:tblLook w:val="04A0" w:firstRow="1" w:lastRow="0" w:firstColumn="1" w:lastColumn="0" w:noHBand="0" w:noVBand="1"/>
      </w:tblPr>
      <w:tblGrid>
        <w:gridCol w:w="7370"/>
      </w:tblGrid>
      <w:tr w:rsidR="001A7F18" w:rsidRPr="00D8650A" w14:paraId="2E6EF5CC" w14:textId="77777777" w:rsidTr="00D03383">
        <w:trPr>
          <w:trHeight w:val="429"/>
        </w:trPr>
        <w:tc>
          <w:tcPr>
            <w:tcW w:w="7370" w:type="dxa"/>
          </w:tcPr>
          <w:p w14:paraId="215AAB6B" w14:textId="242EBEB0" w:rsidR="001A7F18" w:rsidRPr="00D03383" w:rsidRDefault="00D03383" w:rsidP="00D03383">
            <w:pPr>
              <w:rPr>
                <w:rFonts w:eastAsia="Arial"/>
                <w:color w:val="FF0000"/>
              </w:rPr>
            </w:pPr>
            <w:r w:rsidRPr="00D03383">
              <w:rPr>
                <w:rFonts w:eastAsia="Arial"/>
              </w:rPr>
              <w:t>Agent de soutien au programme Mines Action</w:t>
            </w:r>
          </w:p>
        </w:tc>
      </w:tr>
    </w:tbl>
    <w:p w14:paraId="074947F8" w14:textId="77777777" w:rsidR="001A7F18" w:rsidRPr="00D507C2" w:rsidRDefault="001A7F18" w:rsidP="00EA6ADB">
      <w:pPr>
        <w:rPr>
          <w:rFonts w:ascii="Arial" w:eastAsia="Arial" w:hAnsi="Arial" w:cs="Arial"/>
          <w:color w:val="FF0000"/>
        </w:rPr>
      </w:pPr>
    </w:p>
    <w:p w14:paraId="4CC7F210" w14:textId="77777777" w:rsidR="00EA6ADB" w:rsidRDefault="00EA6ADB" w:rsidP="00EA6ADB">
      <w:pPr>
        <w:rPr>
          <w:rFonts w:ascii="Arial" w:eastAsia="Arial" w:hAnsi="Arial" w:cs="Arial"/>
          <w:b/>
          <w:color w:val="FF0000"/>
        </w:rPr>
      </w:pPr>
    </w:p>
    <w:p w14:paraId="164E7E29" w14:textId="486BC63B" w:rsidR="001A7F18" w:rsidRDefault="00496985" w:rsidP="00EA6ADB">
      <w:pPr>
        <w:rPr>
          <w:rFonts w:ascii="Arial" w:eastAsia="Arial" w:hAnsi="Arial" w:cs="Arial"/>
          <w:b/>
          <w:highlight w:val="white"/>
        </w:rPr>
      </w:pPr>
      <w:r>
        <w:rPr>
          <w:rFonts w:ascii="Arial" w:eastAsia="Arial" w:hAnsi="Arial" w:cs="Arial"/>
          <w:b/>
          <w:highlight w:val="white"/>
        </w:rPr>
        <w:t xml:space="preserve">VILLE : </w:t>
      </w:r>
    </w:p>
    <w:tbl>
      <w:tblPr>
        <w:tblStyle w:val="TableGrid"/>
        <w:tblW w:w="0" w:type="auto"/>
        <w:tblLook w:val="04A0" w:firstRow="1" w:lastRow="0" w:firstColumn="1" w:lastColumn="0" w:noHBand="0" w:noVBand="1"/>
      </w:tblPr>
      <w:tblGrid>
        <w:gridCol w:w="7370"/>
      </w:tblGrid>
      <w:tr w:rsidR="001A7F18" w:rsidRPr="00D8650A" w14:paraId="66515ADD" w14:textId="77777777" w:rsidTr="00063D0A">
        <w:tc>
          <w:tcPr>
            <w:tcW w:w="7370" w:type="dxa"/>
          </w:tcPr>
          <w:p w14:paraId="241F7828" w14:textId="23D2E863" w:rsidR="001A7F18" w:rsidRPr="00D8650A" w:rsidRDefault="00D03383" w:rsidP="00063D0A">
            <w:pPr>
              <w:spacing w:line="360" w:lineRule="auto"/>
            </w:pPr>
            <w:r>
              <w:t>Bogota</w:t>
            </w:r>
          </w:p>
        </w:tc>
      </w:tr>
    </w:tbl>
    <w:p w14:paraId="3684EA5B" w14:textId="77777777" w:rsidR="001A7F18" w:rsidRDefault="001A7F18" w:rsidP="00EA6ADB">
      <w:pPr>
        <w:rPr>
          <w:rFonts w:ascii="Arial" w:eastAsia="Arial" w:hAnsi="Arial" w:cs="Arial"/>
          <w:b/>
          <w:highlight w:val="white"/>
        </w:rPr>
      </w:pPr>
    </w:p>
    <w:p w14:paraId="5CDF36A3" w14:textId="77777777" w:rsidR="00496985" w:rsidRDefault="00496985" w:rsidP="00EA6ADB">
      <w:pPr>
        <w:rPr>
          <w:rFonts w:ascii="Arial" w:eastAsia="Arial" w:hAnsi="Arial" w:cs="Arial"/>
          <w:b/>
          <w:highlight w:val="white"/>
        </w:rPr>
      </w:pPr>
    </w:p>
    <w:p w14:paraId="6E2BC531" w14:textId="69A09F45" w:rsidR="001A7F18" w:rsidRDefault="004F686D" w:rsidP="00EA6ADB">
      <w:pPr>
        <w:rPr>
          <w:rFonts w:ascii="Arial" w:eastAsia="Arial" w:hAnsi="Arial" w:cs="Arial"/>
        </w:rPr>
      </w:pPr>
      <w:r>
        <w:rPr>
          <w:rFonts w:ascii="Arial" w:eastAsia="Arial" w:hAnsi="Arial" w:cs="Arial"/>
          <w:b/>
          <w:highlight w:val="white"/>
        </w:rPr>
        <w:t>PAYS :</w:t>
      </w:r>
      <w:r w:rsidR="00D507C2">
        <w:rPr>
          <w:rFonts w:ascii="Arial" w:eastAsia="Arial" w:hAnsi="Arial" w:cs="Arial"/>
        </w:rPr>
        <w:t xml:space="preserve">      </w:t>
      </w:r>
    </w:p>
    <w:tbl>
      <w:tblPr>
        <w:tblStyle w:val="TableGrid"/>
        <w:tblW w:w="0" w:type="auto"/>
        <w:tblLook w:val="04A0" w:firstRow="1" w:lastRow="0" w:firstColumn="1" w:lastColumn="0" w:noHBand="0" w:noVBand="1"/>
      </w:tblPr>
      <w:tblGrid>
        <w:gridCol w:w="7370"/>
      </w:tblGrid>
      <w:tr w:rsidR="001A7F18" w:rsidRPr="00D8650A" w14:paraId="2215D25B" w14:textId="77777777" w:rsidTr="00063D0A">
        <w:tc>
          <w:tcPr>
            <w:tcW w:w="7370" w:type="dxa"/>
          </w:tcPr>
          <w:p w14:paraId="554DBB43" w14:textId="31B4DF41" w:rsidR="001A7F18" w:rsidRPr="00D8650A" w:rsidRDefault="00D03383" w:rsidP="00063D0A">
            <w:pPr>
              <w:spacing w:line="360" w:lineRule="auto"/>
            </w:pPr>
            <w:r>
              <w:t>Colombie</w:t>
            </w:r>
          </w:p>
        </w:tc>
      </w:tr>
    </w:tbl>
    <w:p w14:paraId="5CAC33D8" w14:textId="77777777" w:rsidR="001A7F18" w:rsidRPr="00D507C2" w:rsidRDefault="001A7F18" w:rsidP="00EA6ADB">
      <w:pPr>
        <w:rPr>
          <w:rFonts w:ascii="Arial" w:eastAsia="Arial" w:hAnsi="Arial" w:cs="Arial"/>
        </w:rPr>
      </w:pPr>
    </w:p>
    <w:p w14:paraId="29F56338" w14:textId="77777777" w:rsidR="00EA6ADB" w:rsidRDefault="00EA6ADB" w:rsidP="00EA6ADB">
      <w:pPr>
        <w:rPr>
          <w:rFonts w:ascii="Arial" w:eastAsia="Arial" w:hAnsi="Arial" w:cs="Arial"/>
        </w:rPr>
      </w:pPr>
    </w:p>
    <w:p w14:paraId="7D554404" w14:textId="1944B5A8" w:rsidR="00BD076A" w:rsidRDefault="004F686D" w:rsidP="00EA6ADB">
      <w:pPr>
        <w:rPr>
          <w:rFonts w:ascii="Arial" w:eastAsia="Arial" w:hAnsi="Arial" w:cs="Arial"/>
        </w:rPr>
      </w:pPr>
      <w:r>
        <w:rPr>
          <w:rFonts w:ascii="Arial" w:eastAsia="Arial" w:hAnsi="Arial" w:cs="Arial"/>
          <w:b/>
          <w:highlight w:val="white"/>
        </w:rPr>
        <w:t>DURÉE</w:t>
      </w:r>
      <w:r w:rsidR="00496985">
        <w:rPr>
          <w:rFonts w:ascii="Arial" w:eastAsia="Arial" w:hAnsi="Arial" w:cs="Arial"/>
          <w:b/>
          <w:highlight w:val="white"/>
        </w:rPr>
        <w:t xml:space="preserve"> DU STAGE</w:t>
      </w:r>
      <w:r>
        <w:rPr>
          <w:rFonts w:ascii="Arial" w:eastAsia="Arial" w:hAnsi="Arial" w:cs="Arial"/>
          <w:b/>
          <w:highlight w:val="white"/>
        </w:rPr>
        <w:t> :</w:t>
      </w:r>
      <w:r w:rsidR="00D507C2">
        <w:rPr>
          <w:rFonts w:ascii="Arial" w:eastAsia="Arial" w:hAnsi="Arial" w:cs="Arial"/>
        </w:rPr>
        <w:t xml:space="preserve">     </w:t>
      </w:r>
    </w:p>
    <w:p w14:paraId="3FF3F845" w14:textId="77777777" w:rsidR="001A7F18" w:rsidRDefault="001A7F18" w:rsidP="00EA6ADB">
      <w:pPr>
        <w:rPr>
          <w:rFonts w:ascii="Arial" w:eastAsia="Arial" w:hAnsi="Arial" w:cs="Arial"/>
        </w:rPr>
      </w:pPr>
    </w:p>
    <w:tbl>
      <w:tblPr>
        <w:tblStyle w:val="TableGrid"/>
        <w:tblW w:w="0" w:type="auto"/>
        <w:tblLook w:val="04A0" w:firstRow="1" w:lastRow="0" w:firstColumn="1" w:lastColumn="0" w:noHBand="0" w:noVBand="1"/>
      </w:tblPr>
      <w:tblGrid>
        <w:gridCol w:w="7370"/>
      </w:tblGrid>
      <w:tr w:rsidR="001A7F18" w:rsidRPr="00D8650A" w14:paraId="3F945BF2" w14:textId="77777777" w:rsidTr="00063D0A">
        <w:tc>
          <w:tcPr>
            <w:tcW w:w="7370" w:type="dxa"/>
          </w:tcPr>
          <w:p w14:paraId="2085943B" w14:textId="37837155" w:rsidR="001A7F18" w:rsidRPr="00D8650A" w:rsidRDefault="00D03383" w:rsidP="00063D0A">
            <w:pPr>
              <w:spacing w:line="360" w:lineRule="auto"/>
            </w:pPr>
            <w:r>
              <w:t>Trois mois</w:t>
            </w:r>
          </w:p>
        </w:tc>
      </w:tr>
    </w:tbl>
    <w:p w14:paraId="3ED22FEE" w14:textId="77777777" w:rsidR="001A7F18" w:rsidRDefault="001A7F18" w:rsidP="00EA6ADB">
      <w:pPr>
        <w:rPr>
          <w:rFonts w:ascii="Arial" w:eastAsia="Arial" w:hAnsi="Arial" w:cs="Arial"/>
        </w:rPr>
      </w:pPr>
    </w:p>
    <w:p w14:paraId="6C807193" w14:textId="6108785A" w:rsidR="00EA6ADB" w:rsidRDefault="004F686D" w:rsidP="00EA6ADB">
      <w:pPr>
        <w:rPr>
          <w:rFonts w:ascii="Arial" w:eastAsia="Arial" w:hAnsi="Arial" w:cs="Arial"/>
          <w:highlight w:val="white"/>
        </w:rPr>
      </w:pPr>
      <w:r>
        <w:rPr>
          <w:rFonts w:ascii="Arial" w:eastAsia="Arial" w:hAnsi="Arial" w:cs="Arial"/>
          <w:b/>
          <w:highlight w:val="white"/>
        </w:rPr>
        <w:t>DESCRIPTION DE L’ORGANISME CANADIEN</w:t>
      </w:r>
      <w:r w:rsidR="00D507C2">
        <w:rPr>
          <w:rFonts w:ascii="Arial" w:eastAsia="Arial" w:hAnsi="Arial" w:cs="Arial"/>
          <w:b/>
          <w:highlight w:val="white"/>
        </w:rPr>
        <w:t>:</w:t>
      </w:r>
      <w:r w:rsidR="00D507C2">
        <w:rPr>
          <w:rFonts w:ascii="Arial" w:eastAsia="Arial" w:hAnsi="Arial" w:cs="Arial"/>
          <w:highlight w:val="white"/>
        </w:rPr>
        <w:t xml:space="preserve">     </w:t>
      </w:r>
    </w:p>
    <w:tbl>
      <w:tblPr>
        <w:tblStyle w:val="TableGrid"/>
        <w:tblW w:w="0" w:type="auto"/>
        <w:tblLook w:val="04A0" w:firstRow="1" w:lastRow="0" w:firstColumn="1" w:lastColumn="0" w:noHBand="0" w:noVBand="1"/>
      </w:tblPr>
      <w:tblGrid>
        <w:gridCol w:w="7370"/>
      </w:tblGrid>
      <w:tr w:rsidR="001A7F18" w:rsidRPr="00D8650A" w14:paraId="247B986F" w14:textId="77777777" w:rsidTr="00001172">
        <w:trPr>
          <w:trHeight w:val="3435"/>
        </w:trPr>
        <w:tc>
          <w:tcPr>
            <w:tcW w:w="7370" w:type="dxa"/>
          </w:tcPr>
          <w:p w14:paraId="5F1ADC20" w14:textId="2DEB41AE" w:rsidR="001A7F18" w:rsidRPr="00001172" w:rsidRDefault="00D03383" w:rsidP="00D03383">
            <w:pPr>
              <w:rPr>
                <w:rFonts w:eastAsia="Arial"/>
                <w:highlight w:val="white"/>
              </w:rPr>
            </w:pPr>
            <w:r w:rsidRPr="00001172">
              <w:rPr>
                <w:rFonts w:eastAsia="Arial"/>
              </w:rPr>
              <w:t>Mines Action Canada (MAC) est un chef de file international qui s'efforce d'éliminer les graves conséquences humanitaires, environnementales et de développement des armes aveugles. MAC s'engage à atténuer l'impact de ces armes sur les droits, la dignité et le bien-être des populations civiles. MAC le fait en engageant le public; soutenir les partenaires nationaux et internationaux; rechercher et surveiller les niveaux de performance et de conformité du désarmement et des lois humanitaires ; et en développant et en diffusant des ressources. Mines Action Canada travaille à mettre fin aux souffrances causées par les armes aveugles et inhumaines telles que les mines terrestres, les armes à sous-munitions, les armes autonomes, les armes explosives dans les zones peuplées et les armes nucléaires avec des collègues du monde entier.</w:t>
            </w:r>
          </w:p>
        </w:tc>
      </w:tr>
    </w:tbl>
    <w:p w14:paraId="25A2516F" w14:textId="77777777" w:rsidR="001A7F18" w:rsidRPr="00D507C2" w:rsidRDefault="001A7F18" w:rsidP="00EA6ADB">
      <w:pPr>
        <w:rPr>
          <w:rFonts w:ascii="Arial" w:eastAsia="Arial" w:hAnsi="Arial" w:cs="Arial"/>
          <w:highlight w:val="white"/>
        </w:rPr>
      </w:pPr>
    </w:p>
    <w:p w14:paraId="1691F3B7" w14:textId="77777777" w:rsidR="00EA6ADB" w:rsidRDefault="00EA6ADB" w:rsidP="00EA6ADB">
      <w:pPr>
        <w:jc w:val="both"/>
        <w:rPr>
          <w:rFonts w:ascii="Arial" w:eastAsia="Arial" w:hAnsi="Arial" w:cs="Arial"/>
        </w:rPr>
      </w:pPr>
    </w:p>
    <w:p w14:paraId="1F9C1624" w14:textId="77777777" w:rsidR="001A7F18" w:rsidRDefault="004F686D" w:rsidP="00EA6ADB">
      <w:pPr>
        <w:rPr>
          <w:rFonts w:ascii="Arial" w:eastAsia="Arial" w:hAnsi="Arial" w:cs="Arial"/>
          <w:highlight w:val="white"/>
        </w:rPr>
      </w:pPr>
      <w:r>
        <w:rPr>
          <w:rFonts w:ascii="Arial" w:eastAsia="Arial" w:hAnsi="Arial" w:cs="Arial"/>
          <w:b/>
          <w:highlight w:val="white"/>
        </w:rPr>
        <w:lastRenderedPageBreak/>
        <w:t>DESCRIPTION DE L’ORGANISME LOCAL</w:t>
      </w:r>
      <w:r w:rsidR="00EA6ADB">
        <w:rPr>
          <w:rFonts w:ascii="Arial" w:eastAsia="Arial" w:hAnsi="Arial" w:cs="Arial"/>
          <w:b/>
          <w:highlight w:val="white"/>
        </w:rPr>
        <w:t>:</w:t>
      </w:r>
      <w:r w:rsidR="00D507C2">
        <w:rPr>
          <w:rFonts w:ascii="Arial" w:eastAsia="Arial" w:hAnsi="Arial" w:cs="Arial"/>
          <w:highlight w:val="white"/>
        </w:rPr>
        <w:t xml:space="preserve">  </w:t>
      </w:r>
    </w:p>
    <w:tbl>
      <w:tblPr>
        <w:tblStyle w:val="TableGrid"/>
        <w:tblW w:w="0" w:type="auto"/>
        <w:tblLook w:val="04A0" w:firstRow="1" w:lastRow="0" w:firstColumn="1" w:lastColumn="0" w:noHBand="0" w:noVBand="1"/>
      </w:tblPr>
      <w:tblGrid>
        <w:gridCol w:w="7370"/>
      </w:tblGrid>
      <w:tr w:rsidR="001A7F18" w:rsidRPr="00D8650A" w14:paraId="1B8B2F2B" w14:textId="77777777" w:rsidTr="00001172">
        <w:trPr>
          <w:trHeight w:val="4835"/>
        </w:trPr>
        <w:tc>
          <w:tcPr>
            <w:tcW w:w="7370" w:type="dxa"/>
          </w:tcPr>
          <w:p w14:paraId="420A2DC8" w14:textId="2B87932A" w:rsidR="001A7F18" w:rsidRPr="00001172" w:rsidRDefault="00612216" w:rsidP="00612216">
            <w:pPr>
              <w:rPr>
                <w:rFonts w:eastAsia="Arial"/>
              </w:rPr>
            </w:pPr>
            <w:proofErr w:type="spellStart"/>
            <w:r w:rsidRPr="00001172">
              <w:t>Campaña</w:t>
            </w:r>
            <w:proofErr w:type="spellEnd"/>
            <w:r w:rsidRPr="00001172">
              <w:t xml:space="preserve"> </w:t>
            </w:r>
            <w:proofErr w:type="spellStart"/>
            <w:r w:rsidRPr="00001172">
              <w:t>Colombiana</w:t>
            </w:r>
            <w:proofErr w:type="spellEnd"/>
            <w:r w:rsidRPr="00001172">
              <w:t xml:space="preserve"> contra Minas (Campagne colombienne pour l’interdiction des mines antipersonnel ou CCCM) est une organisation majeure de la société civile colombienne qui œuvre à réduire les effets sociaux, économiques et culturels des restes d’explosifs de guerre en Colombie et à promouvoir le désarmement et la sécurité humaine. Membre du conseil de gouvernance de l’ICBL-CMC, la CCCM assume un rôle de leader dans les efforts internationaux visant à interdire les mines antipersonnel et les armes à sous-munitions. La CCCM met en œuvre des programmes de déminage humanitaire, de formation aux risques des mines et d’assistance aux victimes et mène des activités de plaidoyer et de surveillance du Traité d’Ottawa interdisant les mines antipersonnel. Elle fait également partie de réseaux internationaux tels que le réseau Sécurité humaine pour l’Amérique latine et les Caraïbes (SEHLAC), la Campagne internationale pour l’abolition des armes nucléaires (ICAN), la campagne internationale pour stopper les robots tueurs (Campaign to Stop Killer Robots) </w:t>
            </w:r>
            <w:r w:rsidRPr="00001172">
              <w:t>et</w:t>
            </w:r>
            <w:r w:rsidRPr="00001172">
              <w:t xml:space="preserve"> le réseau international sur les armes explosives (INEW).</w:t>
            </w:r>
          </w:p>
        </w:tc>
      </w:tr>
    </w:tbl>
    <w:p w14:paraId="783F68C0" w14:textId="3493A7E0" w:rsidR="00EA6ADB" w:rsidRPr="00D507C2" w:rsidRDefault="00D507C2" w:rsidP="00EA6ADB">
      <w:pPr>
        <w:rPr>
          <w:rFonts w:ascii="Arial" w:eastAsia="Arial" w:hAnsi="Arial" w:cs="Arial"/>
          <w:highlight w:val="white"/>
        </w:rPr>
      </w:pPr>
      <w:r>
        <w:rPr>
          <w:rFonts w:ascii="Arial" w:eastAsia="Arial" w:hAnsi="Arial" w:cs="Arial"/>
          <w:highlight w:val="white"/>
        </w:rPr>
        <w:t xml:space="preserve">   </w:t>
      </w:r>
    </w:p>
    <w:p w14:paraId="33A29393" w14:textId="77777777" w:rsidR="00EA6ADB" w:rsidRDefault="00EA6ADB" w:rsidP="00EA6ADB">
      <w:pPr>
        <w:jc w:val="both"/>
        <w:rPr>
          <w:rFonts w:ascii="Arial" w:eastAsia="Arial" w:hAnsi="Arial" w:cs="Arial"/>
        </w:rPr>
      </w:pPr>
    </w:p>
    <w:p w14:paraId="4EEDBEEB" w14:textId="77777777" w:rsidR="0096734E" w:rsidRDefault="0096734E" w:rsidP="00EA6ADB">
      <w:pPr>
        <w:pBdr>
          <w:top w:val="nil"/>
          <w:left w:val="nil"/>
          <w:bottom w:val="nil"/>
          <w:right w:val="nil"/>
          <w:between w:val="nil"/>
        </w:pBdr>
        <w:shd w:val="clear" w:color="auto" w:fill="FFFFFF"/>
        <w:rPr>
          <w:rFonts w:ascii="Arial" w:eastAsia="Arial" w:hAnsi="Arial" w:cs="Arial"/>
          <w:b/>
          <w:highlight w:val="white"/>
        </w:rPr>
      </w:pPr>
    </w:p>
    <w:p w14:paraId="3F71BB3B" w14:textId="67A75641" w:rsidR="001A7F18" w:rsidRDefault="004F686D" w:rsidP="00EA6ADB">
      <w:pPr>
        <w:pBdr>
          <w:top w:val="nil"/>
          <w:left w:val="nil"/>
          <w:bottom w:val="nil"/>
          <w:right w:val="nil"/>
          <w:between w:val="nil"/>
        </w:pBdr>
        <w:shd w:val="clear" w:color="auto" w:fill="FFFFFF"/>
        <w:rPr>
          <w:rFonts w:ascii="Arial" w:eastAsia="Arial" w:hAnsi="Arial" w:cs="Arial"/>
        </w:rPr>
      </w:pPr>
      <w:r>
        <w:rPr>
          <w:rFonts w:ascii="Arial" w:eastAsia="Arial" w:hAnsi="Arial" w:cs="Arial"/>
          <w:b/>
          <w:highlight w:val="white"/>
        </w:rPr>
        <w:t>RESPONSABILITÉS</w:t>
      </w:r>
      <w:r w:rsidR="00D507C2">
        <w:rPr>
          <w:rFonts w:ascii="Arial" w:eastAsia="Arial" w:hAnsi="Arial" w:cs="Arial"/>
          <w:b/>
          <w:highlight w:val="white"/>
        </w:rPr>
        <w:t> :</w:t>
      </w:r>
      <w:r w:rsidR="00D507C2">
        <w:rPr>
          <w:rFonts w:ascii="Arial" w:eastAsia="Arial" w:hAnsi="Arial" w:cs="Arial"/>
        </w:rPr>
        <w:t xml:space="preserve">      </w:t>
      </w:r>
    </w:p>
    <w:tbl>
      <w:tblPr>
        <w:tblStyle w:val="TableGrid"/>
        <w:tblW w:w="0" w:type="auto"/>
        <w:tblLook w:val="04A0" w:firstRow="1" w:lastRow="0" w:firstColumn="1" w:lastColumn="0" w:noHBand="0" w:noVBand="1"/>
      </w:tblPr>
      <w:tblGrid>
        <w:gridCol w:w="7370"/>
      </w:tblGrid>
      <w:tr w:rsidR="001A7F18" w:rsidRPr="00D8650A" w14:paraId="779C2376" w14:textId="77777777" w:rsidTr="005552A1">
        <w:trPr>
          <w:trHeight w:val="699"/>
        </w:trPr>
        <w:tc>
          <w:tcPr>
            <w:tcW w:w="7370" w:type="dxa"/>
          </w:tcPr>
          <w:p w14:paraId="3D589B61" w14:textId="77777777" w:rsidR="005552A1" w:rsidRPr="005552A1" w:rsidRDefault="005552A1" w:rsidP="005552A1">
            <w:pPr>
              <w:rPr>
                <w:rFonts w:eastAsia="Arial"/>
                <w:color w:val="000000"/>
              </w:rPr>
            </w:pPr>
            <w:r w:rsidRPr="005552A1">
              <w:rPr>
                <w:rFonts w:eastAsia="Arial"/>
                <w:color w:val="000000"/>
              </w:rPr>
              <w:t>L’</w:t>
            </w:r>
            <w:r w:rsidRPr="005552A1">
              <w:rPr>
                <w:rFonts w:eastAsia="Arial"/>
              </w:rPr>
              <w:t>agent de soutien au programme Mines Action</w:t>
            </w:r>
            <w:r w:rsidRPr="005552A1">
              <w:rPr>
                <w:rFonts w:eastAsia="Arial"/>
                <w:color w:val="000000"/>
              </w:rPr>
              <w:t xml:space="preserve"> soutiendra le travail de la CCCM afin de réduire l’impact social et économique des mines antipersonnel par le déminage humanitaire, de formation aux risques des mines et des programmes pour les droits des survivants tout en surveillant le Traité d’Ottawa interdisant les mines antipersonnel et d’autres initiatives internationales.</w:t>
            </w:r>
          </w:p>
          <w:p w14:paraId="0B4DB6BA" w14:textId="77777777" w:rsidR="005552A1" w:rsidRPr="005552A1" w:rsidRDefault="005552A1" w:rsidP="005552A1">
            <w:pPr>
              <w:rPr>
                <w:rFonts w:eastAsia="Arial"/>
                <w:color w:val="000000"/>
              </w:rPr>
            </w:pPr>
          </w:p>
          <w:p w14:paraId="3F67B2EB" w14:textId="77777777" w:rsidR="005552A1" w:rsidRPr="005552A1" w:rsidRDefault="005552A1" w:rsidP="005552A1">
            <w:pPr>
              <w:rPr>
                <w:rFonts w:eastAsia="Arial"/>
                <w:color w:val="000000"/>
              </w:rPr>
            </w:pPr>
            <w:r w:rsidRPr="005552A1">
              <w:rPr>
                <w:rFonts w:eastAsia="Arial"/>
                <w:color w:val="000000"/>
              </w:rPr>
              <w:t>Profil de poste :</w:t>
            </w:r>
          </w:p>
          <w:p w14:paraId="11973D8E" w14:textId="72212C14" w:rsidR="005552A1" w:rsidRPr="005552A1" w:rsidRDefault="005552A1" w:rsidP="005552A1">
            <w:pPr>
              <w:pStyle w:val="ListParagraph"/>
              <w:numPr>
                <w:ilvl w:val="0"/>
                <w:numId w:val="5"/>
              </w:numPr>
              <w:ind w:left="709"/>
              <w:rPr>
                <w:rFonts w:eastAsia="Arial"/>
                <w:color w:val="000000"/>
              </w:rPr>
            </w:pPr>
            <w:r w:rsidRPr="005552A1">
              <w:rPr>
                <w:rFonts w:eastAsia="Arial"/>
                <w:color w:val="000000"/>
              </w:rPr>
              <w:t>Fournir une assistance au personnel local et national (traduction, systématisation, recherche d’informations, conception et mise en œuvre d’outils de gestion de l’information)</w:t>
            </w:r>
          </w:p>
          <w:p w14:paraId="60687E01" w14:textId="42E74922" w:rsidR="005552A1" w:rsidRPr="005552A1" w:rsidRDefault="005552A1" w:rsidP="005552A1">
            <w:pPr>
              <w:pStyle w:val="ListParagraph"/>
              <w:numPr>
                <w:ilvl w:val="0"/>
                <w:numId w:val="5"/>
              </w:numPr>
              <w:ind w:left="709"/>
              <w:rPr>
                <w:rFonts w:eastAsia="Arial"/>
                <w:color w:val="000000"/>
              </w:rPr>
            </w:pPr>
            <w:r w:rsidRPr="005552A1">
              <w:rPr>
                <w:rFonts w:eastAsia="Arial"/>
                <w:color w:val="000000"/>
              </w:rPr>
              <w:t>Soutenir l’équipe de stratégie de relations publiques et de communication pour accroître la présence sur les réseaux sociaux et la mise à jour de la page Web.</w:t>
            </w:r>
          </w:p>
          <w:p w14:paraId="44C8C290" w14:textId="77777777" w:rsidR="005552A1" w:rsidRPr="005552A1" w:rsidRDefault="005552A1" w:rsidP="005552A1">
            <w:pPr>
              <w:pStyle w:val="ListParagraph"/>
              <w:numPr>
                <w:ilvl w:val="0"/>
                <w:numId w:val="5"/>
              </w:numPr>
              <w:ind w:left="709"/>
              <w:rPr>
                <w:rFonts w:eastAsia="Arial"/>
                <w:color w:val="000000"/>
              </w:rPr>
            </w:pPr>
            <w:r w:rsidRPr="005552A1">
              <w:rPr>
                <w:rFonts w:eastAsia="Arial"/>
                <w:color w:val="000000"/>
              </w:rPr>
              <w:t>Communiquer et promouvoir l’implication et les activités de la jeunesse colombienne au niveau international grâce à l’utilisation de stratégies Web 2.0 et de soumissions régulières aux infolettres de la Campagne internationale pour l’interdiction des mines antipersonnel</w:t>
            </w:r>
          </w:p>
          <w:p w14:paraId="64DCE5E7" w14:textId="77777777" w:rsidR="005552A1" w:rsidRPr="005552A1" w:rsidRDefault="005552A1" w:rsidP="005552A1">
            <w:pPr>
              <w:pStyle w:val="ListParagraph"/>
              <w:numPr>
                <w:ilvl w:val="0"/>
                <w:numId w:val="5"/>
              </w:numPr>
              <w:ind w:left="709"/>
              <w:rPr>
                <w:rFonts w:eastAsia="Arial"/>
                <w:color w:val="000000"/>
              </w:rPr>
            </w:pPr>
            <w:r w:rsidRPr="005552A1">
              <w:rPr>
                <w:rFonts w:eastAsia="Arial"/>
                <w:color w:val="000000"/>
              </w:rPr>
              <w:t>Rédiger des rapports et des documents au sujet des activités et projets de la CCCM.</w:t>
            </w:r>
          </w:p>
          <w:p w14:paraId="0928A705" w14:textId="2F597D68" w:rsidR="001A7F18" w:rsidRPr="005552A1" w:rsidRDefault="005552A1" w:rsidP="005552A1">
            <w:pPr>
              <w:pStyle w:val="ListParagraph"/>
              <w:numPr>
                <w:ilvl w:val="0"/>
                <w:numId w:val="5"/>
              </w:numPr>
              <w:ind w:left="709"/>
              <w:rPr>
                <w:rFonts w:eastAsia="Arial"/>
                <w:color w:val="000000"/>
              </w:rPr>
            </w:pPr>
            <w:proofErr w:type="gramStart"/>
            <w:r w:rsidRPr="005552A1">
              <w:rPr>
                <w:rFonts w:eastAsia="Arial"/>
                <w:color w:val="000000"/>
              </w:rPr>
              <w:t>Faire</w:t>
            </w:r>
            <w:proofErr w:type="gramEnd"/>
            <w:r w:rsidRPr="005552A1">
              <w:rPr>
                <w:rFonts w:eastAsia="Arial"/>
                <w:color w:val="000000"/>
              </w:rPr>
              <w:t xml:space="preserve"> des recherches sur les thèmes du désarmement international et la politique d’action sur les mines.</w:t>
            </w:r>
          </w:p>
        </w:tc>
      </w:tr>
    </w:tbl>
    <w:p w14:paraId="7F0431C2" w14:textId="459D5279" w:rsidR="00EA6ADB" w:rsidRPr="00D507C2" w:rsidRDefault="00D507C2" w:rsidP="00EA6ADB">
      <w:pPr>
        <w:pBdr>
          <w:top w:val="nil"/>
          <w:left w:val="nil"/>
          <w:bottom w:val="nil"/>
          <w:right w:val="nil"/>
          <w:between w:val="nil"/>
        </w:pBdr>
        <w:shd w:val="clear" w:color="auto" w:fill="FFFFFF"/>
        <w:rPr>
          <w:rFonts w:ascii="Arial" w:eastAsia="Arial" w:hAnsi="Arial" w:cs="Arial"/>
        </w:rPr>
      </w:pPr>
      <w:r>
        <w:rPr>
          <w:rFonts w:ascii="Arial" w:eastAsia="Arial" w:hAnsi="Arial" w:cs="Arial"/>
        </w:rPr>
        <w:t xml:space="preserve">   </w:t>
      </w:r>
    </w:p>
    <w:p w14:paraId="5EF5EAFE" w14:textId="77777777" w:rsidR="004F686D" w:rsidRDefault="004F686D" w:rsidP="00EA6ADB">
      <w:pPr>
        <w:rPr>
          <w:rFonts w:ascii="Arial" w:eastAsia="Arial" w:hAnsi="Arial" w:cs="Arial"/>
          <w:color w:val="000000"/>
        </w:rPr>
      </w:pPr>
    </w:p>
    <w:p w14:paraId="4BB53F4A" w14:textId="77777777" w:rsidR="001A7F18" w:rsidRDefault="004F686D" w:rsidP="004F686D">
      <w:pPr>
        <w:rPr>
          <w:rFonts w:ascii="Arial" w:eastAsia="Arial" w:hAnsi="Arial" w:cs="Arial"/>
        </w:rPr>
      </w:pPr>
      <w:r>
        <w:rPr>
          <w:rFonts w:ascii="Arial" w:eastAsia="Arial" w:hAnsi="Arial" w:cs="Arial"/>
          <w:b/>
        </w:rPr>
        <w:t>COMPÉTENCES RECHERCHÉES :</w:t>
      </w:r>
      <w:r w:rsidR="00D507C2">
        <w:rPr>
          <w:rFonts w:ascii="Arial" w:eastAsia="Arial" w:hAnsi="Arial" w:cs="Arial"/>
        </w:rPr>
        <w:t xml:space="preserve">     </w:t>
      </w:r>
    </w:p>
    <w:tbl>
      <w:tblPr>
        <w:tblStyle w:val="TableGrid"/>
        <w:tblW w:w="0" w:type="auto"/>
        <w:tblLook w:val="04A0" w:firstRow="1" w:lastRow="0" w:firstColumn="1" w:lastColumn="0" w:noHBand="0" w:noVBand="1"/>
      </w:tblPr>
      <w:tblGrid>
        <w:gridCol w:w="7370"/>
      </w:tblGrid>
      <w:tr w:rsidR="001A7F18" w:rsidRPr="00D8650A" w14:paraId="4579AD48" w14:textId="77777777" w:rsidTr="00BA763B">
        <w:trPr>
          <w:trHeight w:val="3258"/>
        </w:trPr>
        <w:tc>
          <w:tcPr>
            <w:tcW w:w="7370" w:type="dxa"/>
          </w:tcPr>
          <w:p w14:paraId="7BA22715" w14:textId="77777777" w:rsidR="00BA763B" w:rsidRPr="00BA763B" w:rsidRDefault="00BA763B" w:rsidP="00BA763B">
            <w:pPr>
              <w:pStyle w:val="ListParagraph"/>
              <w:numPr>
                <w:ilvl w:val="0"/>
                <w:numId w:val="6"/>
              </w:numPr>
              <w:pBdr>
                <w:top w:val="nil"/>
                <w:left w:val="nil"/>
                <w:bottom w:val="nil"/>
                <w:right w:val="nil"/>
                <w:between w:val="nil"/>
              </w:pBdr>
              <w:jc w:val="both"/>
            </w:pPr>
            <w:r w:rsidRPr="00BA763B">
              <w:t>Il est nécessaire, pour effectuer ce stage, de maîtriser l’espagnol; doit satisfaire aux exigences ESP3992</w:t>
            </w:r>
          </w:p>
          <w:p w14:paraId="16C2576E" w14:textId="77777777" w:rsidR="00BA763B" w:rsidRPr="00BA763B" w:rsidRDefault="00BA763B" w:rsidP="00BA763B">
            <w:pPr>
              <w:pStyle w:val="ListParagraph"/>
              <w:numPr>
                <w:ilvl w:val="0"/>
                <w:numId w:val="6"/>
              </w:numPr>
              <w:pBdr>
                <w:top w:val="nil"/>
                <w:left w:val="nil"/>
                <w:bottom w:val="nil"/>
                <w:right w:val="nil"/>
                <w:between w:val="nil"/>
              </w:pBdr>
              <w:jc w:val="both"/>
            </w:pPr>
            <w:r w:rsidRPr="00BA763B">
              <w:t>Haut niveau d’aisance avec les stratégies Web 2.0 et les outils de réseaux sociaux</w:t>
            </w:r>
          </w:p>
          <w:p w14:paraId="38A0C1BF" w14:textId="77777777" w:rsidR="00BA763B" w:rsidRPr="00BA763B" w:rsidRDefault="00BA763B" w:rsidP="00BA763B">
            <w:pPr>
              <w:pStyle w:val="ListParagraph"/>
              <w:numPr>
                <w:ilvl w:val="0"/>
                <w:numId w:val="6"/>
              </w:numPr>
              <w:pBdr>
                <w:top w:val="nil"/>
                <w:left w:val="nil"/>
                <w:bottom w:val="nil"/>
                <w:right w:val="nil"/>
                <w:between w:val="nil"/>
              </w:pBdr>
              <w:jc w:val="both"/>
            </w:pPr>
            <w:r w:rsidRPr="00BA763B">
              <w:t>Études postsecondaires en études de développement ou un domaine affilié</w:t>
            </w:r>
          </w:p>
          <w:p w14:paraId="0A358B5D" w14:textId="77777777" w:rsidR="00BA763B" w:rsidRPr="00BA763B" w:rsidRDefault="00BA763B" w:rsidP="00BA763B">
            <w:pPr>
              <w:pStyle w:val="ListParagraph"/>
              <w:numPr>
                <w:ilvl w:val="0"/>
                <w:numId w:val="6"/>
              </w:numPr>
              <w:pBdr>
                <w:top w:val="nil"/>
                <w:left w:val="nil"/>
                <w:bottom w:val="nil"/>
                <w:right w:val="nil"/>
                <w:between w:val="nil"/>
              </w:pBdr>
              <w:jc w:val="both"/>
            </w:pPr>
            <w:r w:rsidRPr="00BA763B">
              <w:t>Volontariat ou expérience d’études dans les domaines de la justice sociale ou de l’action sur les mines</w:t>
            </w:r>
          </w:p>
          <w:p w14:paraId="4330337F" w14:textId="77777777" w:rsidR="00BA763B" w:rsidRPr="00BA763B" w:rsidRDefault="00BA763B" w:rsidP="00BA763B">
            <w:pPr>
              <w:pStyle w:val="ListParagraph"/>
              <w:numPr>
                <w:ilvl w:val="0"/>
                <w:numId w:val="6"/>
              </w:numPr>
              <w:pBdr>
                <w:top w:val="nil"/>
                <w:left w:val="nil"/>
                <w:bottom w:val="nil"/>
                <w:right w:val="nil"/>
                <w:between w:val="nil"/>
              </w:pBdr>
              <w:jc w:val="both"/>
            </w:pPr>
            <w:r w:rsidRPr="00BA763B">
              <w:t>Excellent niveau d’anglais et d’espagnol à l’écrit et à l’oral</w:t>
            </w:r>
          </w:p>
          <w:p w14:paraId="2B345845" w14:textId="77777777" w:rsidR="00BA763B" w:rsidRPr="00BA763B" w:rsidRDefault="00BA763B" w:rsidP="00BA763B">
            <w:pPr>
              <w:pStyle w:val="ListParagraph"/>
              <w:numPr>
                <w:ilvl w:val="0"/>
                <w:numId w:val="6"/>
              </w:numPr>
              <w:pBdr>
                <w:top w:val="nil"/>
                <w:left w:val="nil"/>
                <w:bottom w:val="nil"/>
                <w:right w:val="nil"/>
                <w:between w:val="nil"/>
              </w:pBdr>
              <w:jc w:val="both"/>
            </w:pPr>
            <w:r w:rsidRPr="00BA763B">
              <w:t>Aptitudes au multitâches, au travail indépendant et à la communication en ligne.</w:t>
            </w:r>
          </w:p>
          <w:p w14:paraId="0349E8EE" w14:textId="77777777" w:rsidR="001A7F18" w:rsidRPr="00D8650A" w:rsidRDefault="001A7F18" w:rsidP="00063D0A">
            <w:pPr>
              <w:spacing w:line="360" w:lineRule="auto"/>
            </w:pPr>
          </w:p>
        </w:tc>
      </w:tr>
    </w:tbl>
    <w:p w14:paraId="1B44F482" w14:textId="3C094BFF" w:rsidR="00EA6ADB" w:rsidRPr="00D507C2" w:rsidRDefault="00D507C2" w:rsidP="004F686D">
      <w:pPr>
        <w:rPr>
          <w:rFonts w:ascii="Arial" w:eastAsia="Arial" w:hAnsi="Arial" w:cs="Arial"/>
          <w:color w:val="000000"/>
        </w:rPr>
      </w:pPr>
      <w:r>
        <w:rPr>
          <w:rFonts w:ascii="Arial" w:eastAsia="Arial" w:hAnsi="Arial" w:cs="Arial"/>
        </w:rPr>
        <w:t xml:space="preserve">   </w:t>
      </w:r>
    </w:p>
    <w:p w14:paraId="1AB4AC66" w14:textId="77777777" w:rsidR="00EA6ADB" w:rsidRDefault="00EA6ADB" w:rsidP="00EA6ADB">
      <w:pPr>
        <w:pBdr>
          <w:top w:val="nil"/>
          <w:left w:val="nil"/>
          <w:bottom w:val="nil"/>
          <w:right w:val="nil"/>
          <w:between w:val="nil"/>
        </w:pBdr>
        <w:jc w:val="both"/>
      </w:pPr>
    </w:p>
    <w:sectPr w:rsidR="00EA6ADB">
      <w:headerReference w:type="default"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E54565" w14:textId="77777777" w:rsidR="00C57C6B" w:rsidRDefault="00C57C6B" w:rsidP="00F125D7">
      <w:r>
        <w:separator/>
      </w:r>
    </w:p>
  </w:endnote>
  <w:endnote w:type="continuationSeparator" w:id="0">
    <w:p w14:paraId="25E9DD98" w14:textId="77777777" w:rsidR="00C57C6B" w:rsidRDefault="00C57C6B" w:rsidP="00F125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500" w:type="dxa"/>
      <w:tblInd w:w="-993" w:type="dxa"/>
      <w:tblLook w:val="04A0" w:firstRow="1" w:lastRow="0" w:firstColumn="1" w:lastColumn="0" w:noHBand="0" w:noVBand="1"/>
    </w:tblPr>
    <w:tblGrid>
      <w:gridCol w:w="8417"/>
      <w:gridCol w:w="3083"/>
    </w:tblGrid>
    <w:tr w:rsidR="00F125D7" w:rsidRPr="00F125D7" w14:paraId="516FB6EC" w14:textId="77777777" w:rsidTr="00063D0A">
      <w:trPr>
        <w:trHeight w:val="281"/>
      </w:trPr>
      <w:tc>
        <w:tcPr>
          <w:tcW w:w="8417" w:type="dxa"/>
          <w:tcBorders>
            <w:top w:val="nil"/>
            <w:left w:val="nil"/>
            <w:bottom w:val="nil"/>
            <w:right w:val="nil"/>
          </w:tcBorders>
          <w:shd w:val="clear" w:color="auto" w:fill="auto"/>
        </w:tcPr>
        <w:p w14:paraId="52EA07B1" w14:textId="77777777" w:rsidR="00F125D7" w:rsidRPr="00F125D7" w:rsidRDefault="00F125D7" w:rsidP="00F125D7">
          <w:pPr>
            <w:pStyle w:val="Footer"/>
            <w:rPr>
              <w:lang w:val="en-CA"/>
            </w:rPr>
          </w:pPr>
          <w:bookmarkStart w:id="1" w:name="_Hlk138680076"/>
          <w:bookmarkStart w:id="2" w:name="_Hlk138680077"/>
          <w:bookmarkStart w:id="3" w:name="_Hlk138680078"/>
          <w:bookmarkStart w:id="4" w:name="_Hlk138680079"/>
        </w:p>
      </w:tc>
      <w:tc>
        <w:tcPr>
          <w:tcW w:w="3083" w:type="dxa"/>
          <w:tcBorders>
            <w:top w:val="nil"/>
            <w:left w:val="nil"/>
            <w:bottom w:val="nil"/>
            <w:right w:val="nil"/>
          </w:tcBorders>
          <w:shd w:val="clear" w:color="auto" w:fill="auto"/>
        </w:tcPr>
        <w:p w14:paraId="7735FC85" w14:textId="77777777" w:rsidR="00F125D7" w:rsidRPr="00F125D7" w:rsidRDefault="00F125D7" w:rsidP="00F125D7">
          <w:pPr>
            <w:pStyle w:val="Footer"/>
            <w:rPr>
              <w:lang w:val="en-CA"/>
            </w:rPr>
          </w:pPr>
          <w:r w:rsidRPr="00F125D7">
            <w:rPr>
              <w:noProof/>
              <w:lang w:val="en-CA"/>
            </w:rPr>
            <w:drawing>
              <wp:inline distT="0" distB="0" distL="0" distR="0" wp14:anchorId="1434618A" wp14:editId="388EA6B4">
                <wp:extent cx="1619162" cy="433070"/>
                <wp:effectExtent l="0" t="0" r="635" b="5080"/>
                <wp:docPr id="1" name="Picture 1" descr="logo de l'uOttaw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de l'uOttawa"/>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28464" cy="462304"/>
                        </a:xfrm>
                        <a:prstGeom prst="rect">
                          <a:avLst/>
                        </a:prstGeom>
                      </pic:spPr>
                    </pic:pic>
                  </a:graphicData>
                </a:graphic>
              </wp:inline>
            </w:drawing>
          </w:r>
        </w:p>
        <w:p w14:paraId="6D2577BE" w14:textId="77777777" w:rsidR="00F125D7" w:rsidRPr="00F125D7" w:rsidRDefault="00F125D7" w:rsidP="00F125D7">
          <w:pPr>
            <w:pStyle w:val="Footer"/>
            <w:rPr>
              <w:lang w:val="en-CA"/>
            </w:rPr>
          </w:pPr>
        </w:p>
      </w:tc>
    </w:tr>
    <w:tr w:rsidR="00F125D7" w:rsidRPr="00F125D7" w14:paraId="5AF8C1EC" w14:textId="77777777" w:rsidTr="00063D0A">
      <w:trPr>
        <w:trHeight w:val="309"/>
      </w:trPr>
      <w:tc>
        <w:tcPr>
          <w:tcW w:w="8417" w:type="dxa"/>
          <w:tcBorders>
            <w:top w:val="nil"/>
            <w:left w:val="nil"/>
            <w:bottom w:val="nil"/>
            <w:right w:val="nil"/>
          </w:tcBorders>
          <w:shd w:val="clear" w:color="auto" w:fill="A6A6A6" w:themeFill="background1" w:themeFillShade="A6"/>
        </w:tcPr>
        <w:p w14:paraId="45C96229" w14:textId="77777777" w:rsidR="00F125D7" w:rsidRPr="00F125D7" w:rsidRDefault="00F125D7" w:rsidP="00F125D7">
          <w:pPr>
            <w:pStyle w:val="Footer"/>
            <w:rPr>
              <w:lang w:val="en-CA"/>
            </w:rPr>
          </w:pPr>
          <w:r w:rsidRPr="00F125D7">
            <w:rPr>
              <w:lang w:val="en-CA"/>
            </w:rPr>
            <w:t>2023fr</w:t>
          </w:r>
          <w:r w:rsidRPr="00F125D7">
            <w:rPr>
              <w:lang w:val="en-CA"/>
            </w:rPr>
            <w:tab/>
          </w:r>
        </w:p>
      </w:tc>
      <w:tc>
        <w:tcPr>
          <w:tcW w:w="3083" w:type="dxa"/>
          <w:tcBorders>
            <w:top w:val="nil"/>
            <w:left w:val="nil"/>
            <w:bottom w:val="nil"/>
            <w:right w:val="nil"/>
          </w:tcBorders>
          <w:shd w:val="clear" w:color="auto" w:fill="A20000"/>
        </w:tcPr>
        <w:p w14:paraId="59C7A459" w14:textId="77777777" w:rsidR="00F125D7" w:rsidRPr="00F125D7" w:rsidRDefault="00F125D7" w:rsidP="00F125D7">
          <w:pPr>
            <w:pStyle w:val="Footer"/>
            <w:rPr>
              <w:lang w:val="en-CA"/>
            </w:rPr>
          </w:pPr>
        </w:p>
      </w:tc>
    </w:tr>
    <w:bookmarkEnd w:id="1"/>
    <w:bookmarkEnd w:id="2"/>
    <w:bookmarkEnd w:id="3"/>
    <w:bookmarkEnd w:id="4"/>
  </w:tbl>
  <w:p w14:paraId="5C83CB1B" w14:textId="38BA01F6" w:rsidR="00F125D7" w:rsidRPr="00F125D7" w:rsidRDefault="00F125D7" w:rsidP="00F125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F9F6AA" w14:textId="77777777" w:rsidR="00C57C6B" w:rsidRDefault="00C57C6B" w:rsidP="00F125D7">
      <w:r>
        <w:separator/>
      </w:r>
    </w:p>
  </w:footnote>
  <w:footnote w:type="continuationSeparator" w:id="0">
    <w:p w14:paraId="0B585D2F" w14:textId="77777777" w:rsidR="00C57C6B" w:rsidRDefault="00C57C6B" w:rsidP="00F125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tblW w:w="11500" w:type="dxa"/>
      <w:tblInd w:w="-993" w:type="dxa"/>
      <w:tblLook w:val="04A0" w:firstRow="1" w:lastRow="0" w:firstColumn="1" w:lastColumn="0" w:noHBand="0" w:noVBand="1"/>
    </w:tblPr>
    <w:tblGrid>
      <w:gridCol w:w="2127"/>
      <w:gridCol w:w="9373"/>
    </w:tblGrid>
    <w:tr w:rsidR="00F125D7" w:rsidRPr="00F125D7" w14:paraId="07FD4F40" w14:textId="77777777" w:rsidTr="00F125D7">
      <w:trPr>
        <w:trHeight w:val="281"/>
      </w:trPr>
      <w:tc>
        <w:tcPr>
          <w:tcW w:w="2127" w:type="dxa"/>
          <w:tcBorders>
            <w:top w:val="nil"/>
            <w:left w:val="nil"/>
            <w:bottom w:val="nil"/>
            <w:right w:val="single" w:sz="8" w:space="0" w:color="A6A6A6"/>
          </w:tcBorders>
        </w:tcPr>
        <w:p w14:paraId="4C445208" w14:textId="77777777" w:rsidR="00F125D7" w:rsidRPr="00F125D7" w:rsidRDefault="00F125D7" w:rsidP="00F125D7">
          <w:pPr>
            <w:rPr>
              <w:rFonts w:ascii="Calibri" w:eastAsia="Calibri" w:hAnsi="Calibri"/>
              <w:b/>
              <w:color w:val="A20000"/>
              <w:sz w:val="22"/>
              <w:szCs w:val="22"/>
              <w:lang w:val="en-CA" w:eastAsia="en-US"/>
            </w:rPr>
          </w:pPr>
          <w:r w:rsidRPr="00F125D7">
            <w:rPr>
              <w:rFonts w:ascii="Calibri" w:eastAsia="Calibri" w:hAnsi="Calibri"/>
              <w:b/>
              <w:color w:val="A20000"/>
              <w:sz w:val="22"/>
              <w:szCs w:val="22"/>
              <w:lang w:val="en-CA" w:eastAsia="en-US"/>
            </w:rPr>
            <w:t>Université d’Ottawa</w:t>
          </w:r>
        </w:p>
      </w:tc>
      <w:tc>
        <w:tcPr>
          <w:tcW w:w="9373" w:type="dxa"/>
          <w:tcBorders>
            <w:top w:val="nil"/>
            <w:left w:val="single" w:sz="8" w:space="0" w:color="A6A6A6"/>
            <w:bottom w:val="nil"/>
            <w:right w:val="nil"/>
          </w:tcBorders>
        </w:tcPr>
        <w:p w14:paraId="740BE92D" w14:textId="77777777" w:rsidR="00F125D7" w:rsidRPr="00F125D7" w:rsidRDefault="00F125D7" w:rsidP="00F125D7">
          <w:pPr>
            <w:rPr>
              <w:rFonts w:ascii="Calibri" w:eastAsia="Calibri" w:hAnsi="Calibri"/>
              <w:b/>
              <w:color w:val="A20000"/>
              <w:sz w:val="22"/>
              <w:szCs w:val="22"/>
              <w:lang w:val="en-CA" w:eastAsia="en-US"/>
            </w:rPr>
          </w:pPr>
          <w:r w:rsidRPr="00F125D7">
            <w:rPr>
              <w:rFonts w:ascii="Calibri" w:eastAsia="Calibri" w:hAnsi="Calibri"/>
              <w:b/>
              <w:color w:val="A20000"/>
              <w:sz w:val="22"/>
              <w:szCs w:val="22"/>
              <w:lang w:val="en-CA" w:eastAsia="en-US"/>
            </w:rPr>
            <w:t xml:space="preserve"> University of Ottawa</w:t>
          </w:r>
        </w:p>
      </w:tc>
    </w:tr>
  </w:tbl>
  <w:p w14:paraId="2D2385C7" w14:textId="46126F4A" w:rsidR="00F125D7" w:rsidRDefault="00F125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F04D2"/>
    <w:multiLevelType w:val="hybridMultilevel"/>
    <w:tmpl w:val="3F889316"/>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 w15:restartNumberingAfterBreak="0">
    <w:nsid w:val="25027CFE"/>
    <w:multiLevelType w:val="multilevel"/>
    <w:tmpl w:val="F31C09D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2AFC34D8"/>
    <w:multiLevelType w:val="hybridMultilevel"/>
    <w:tmpl w:val="F0966C8E"/>
    <w:lvl w:ilvl="0" w:tplc="707A8BEE">
      <w:numFmt w:val="bullet"/>
      <w:lvlText w:val="•"/>
      <w:lvlJc w:val="left"/>
      <w:pPr>
        <w:ind w:left="720" w:hanging="360"/>
      </w:pPr>
      <w:rPr>
        <w:rFonts w:ascii="Arial" w:eastAsia="Arial"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3557765A"/>
    <w:multiLevelType w:val="multilevel"/>
    <w:tmpl w:val="44749F4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3B3F2066"/>
    <w:multiLevelType w:val="multilevel"/>
    <w:tmpl w:val="431E44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EE306DF"/>
    <w:multiLevelType w:val="multilevel"/>
    <w:tmpl w:val="8E0266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027244672">
    <w:abstractNumId w:val="5"/>
  </w:num>
  <w:num w:numId="2" w16cid:durableId="1267467639">
    <w:abstractNumId w:val="3"/>
  </w:num>
  <w:num w:numId="3" w16cid:durableId="145556715">
    <w:abstractNumId w:val="4"/>
  </w:num>
  <w:num w:numId="4" w16cid:durableId="289362291">
    <w:abstractNumId w:val="1"/>
  </w:num>
  <w:num w:numId="5" w16cid:durableId="25448667">
    <w:abstractNumId w:val="0"/>
  </w:num>
  <w:num w:numId="6" w16cid:durableId="21018738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6ADB"/>
    <w:rsid w:val="00001172"/>
    <w:rsid w:val="001A7F18"/>
    <w:rsid w:val="00237DFB"/>
    <w:rsid w:val="002E3D0A"/>
    <w:rsid w:val="00496985"/>
    <w:rsid w:val="004F686D"/>
    <w:rsid w:val="005552A1"/>
    <w:rsid w:val="00612216"/>
    <w:rsid w:val="00657D87"/>
    <w:rsid w:val="0096734E"/>
    <w:rsid w:val="009906B2"/>
    <w:rsid w:val="009E3759"/>
    <w:rsid w:val="00B261E7"/>
    <w:rsid w:val="00B34723"/>
    <w:rsid w:val="00BA763B"/>
    <w:rsid w:val="00BD076A"/>
    <w:rsid w:val="00C57C6B"/>
    <w:rsid w:val="00C73F56"/>
    <w:rsid w:val="00D03383"/>
    <w:rsid w:val="00D507C2"/>
    <w:rsid w:val="00D51175"/>
    <w:rsid w:val="00EA6ADB"/>
    <w:rsid w:val="00F125D7"/>
    <w:rsid w:val="00F267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16F6B3"/>
  <w15:chartTrackingRefBased/>
  <w15:docId w15:val="{E601DEFF-F602-4411-9167-32C7285D1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A6ADB"/>
    <w:pPr>
      <w:spacing w:after="0" w:line="240" w:lineRule="auto"/>
    </w:pPr>
    <w:rPr>
      <w:rFonts w:ascii="Times New Roman" w:eastAsia="Times New Roman" w:hAnsi="Times New Roman" w:cs="Times New Roman"/>
      <w:sz w:val="24"/>
      <w:szCs w:val="24"/>
      <w:lang w:val="fr-CA" w:eastAsia="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25D7"/>
    <w:pPr>
      <w:tabs>
        <w:tab w:val="center" w:pos="4680"/>
        <w:tab w:val="right" w:pos="9360"/>
      </w:tabs>
    </w:pPr>
  </w:style>
  <w:style w:type="character" w:customStyle="1" w:styleId="HeaderChar">
    <w:name w:val="Header Char"/>
    <w:basedOn w:val="DefaultParagraphFont"/>
    <w:link w:val="Header"/>
    <w:uiPriority w:val="99"/>
    <w:rsid w:val="00F125D7"/>
    <w:rPr>
      <w:rFonts w:ascii="Times New Roman" w:eastAsia="Times New Roman" w:hAnsi="Times New Roman" w:cs="Times New Roman"/>
      <w:sz w:val="24"/>
      <w:szCs w:val="24"/>
      <w:lang w:val="fr-CA" w:eastAsia="fr-CA"/>
    </w:rPr>
  </w:style>
  <w:style w:type="paragraph" w:styleId="Footer">
    <w:name w:val="footer"/>
    <w:basedOn w:val="Normal"/>
    <w:link w:val="FooterChar"/>
    <w:uiPriority w:val="99"/>
    <w:unhideWhenUsed/>
    <w:rsid w:val="00F125D7"/>
    <w:pPr>
      <w:tabs>
        <w:tab w:val="center" w:pos="4680"/>
        <w:tab w:val="right" w:pos="9360"/>
      </w:tabs>
    </w:pPr>
  </w:style>
  <w:style w:type="character" w:customStyle="1" w:styleId="FooterChar">
    <w:name w:val="Footer Char"/>
    <w:basedOn w:val="DefaultParagraphFont"/>
    <w:link w:val="Footer"/>
    <w:uiPriority w:val="99"/>
    <w:rsid w:val="00F125D7"/>
    <w:rPr>
      <w:rFonts w:ascii="Times New Roman" w:eastAsia="Times New Roman" w:hAnsi="Times New Roman" w:cs="Times New Roman"/>
      <w:sz w:val="24"/>
      <w:szCs w:val="24"/>
      <w:lang w:val="fr-CA" w:eastAsia="fr-CA"/>
    </w:rPr>
  </w:style>
  <w:style w:type="table" w:styleId="TableGrid">
    <w:name w:val="Table Grid"/>
    <w:basedOn w:val="TableNormal"/>
    <w:uiPriority w:val="39"/>
    <w:rsid w:val="00F125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F125D7"/>
    <w:pPr>
      <w:spacing w:after="0" w:line="240" w:lineRule="auto"/>
    </w:pPr>
    <w:rPr>
      <w:kern w:val="2"/>
      <w:lang w:val="en-CA"/>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552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616</Words>
  <Characters>3514</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University of Ottawa</Company>
  <LinksUpToDate>false</LinksUpToDate>
  <CharactersWithSpaces>4122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Gillian Flude</cp:lastModifiedBy>
  <cp:revision>9</cp:revision>
  <dcterms:created xsi:type="dcterms:W3CDTF">2024-02-02T20:20:00Z</dcterms:created>
  <dcterms:modified xsi:type="dcterms:W3CDTF">2024-02-02T20:24:00Z</dcterms:modified>
</cp:coreProperties>
</file>